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Work Sans" w:cs="Work Sans" w:eastAsia="Work Sans" w:hAnsi="Work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Work Sans" w:cs="Work Sans" w:eastAsia="Work Sans" w:hAnsi="Work Sans"/>
          <w:b w:val="1"/>
          <w:color w:val="000000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Work Sans" w:cs="Work Sans" w:eastAsia="Work Sans" w:hAnsi="Work Sans"/>
          <w:b w:val="1"/>
          <w:sz w:val="28"/>
          <w:szCs w:val="28"/>
          <w:rtl w:val="0"/>
        </w:rPr>
        <w:t xml:space="preserve">Intellectual Property</w:t>
      </w: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8"/>
          <w:szCs w:val="28"/>
          <w:rtl w:val="0"/>
        </w:rPr>
        <w:t xml:space="preserve"> CALL – 202</w:t>
      </w:r>
      <w:r w:rsidDel="00000000" w:rsidR="00000000" w:rsidRPr="00000000">
        <w:rPr>
          <w:rFonts w:ascii="Work Sans" w:cs="Work Sans" w:eastAsia="Work Sans" w:hAnsi="Work Sans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8"/>
          <w:szCs w:val="28"/>
          <w:rtl w:val="0"/>
        </w:rPr>
        <w:t xml:space="preserve"> FORM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Work Sans" w:cs="Work Sans" w:eastAsia="Work Sans" w:hAnsi="Work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Project name: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Research group name: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" w:firstLine="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76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6"/>
        <w:tblGridChange w:id="0">
          <w:tblGrid>
            <w:gridCol w:w="84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Work Sans" w:cs="Work Sans" w:eastAsia="Work Sans" w:hAnsi="Work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" w:firstLine="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sz w:val="22"/>
          <w:szCs w:val="22"/>
          <w:rtl w:val="0"/>
        </w:rPr>
        <w:t xml:space="preserve">Xartec Salut will provide IP related strategic studies developed by specialized suppliers in the field. Please select the desired study: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ork Sans" w:cs="Work Sans" w:eastAsia="Work Sans" w:hAnsi="Work Sans"/>
          <w:sz w:val="22"/>
          <w:szCs w:val="22"/>
          <w:rtl w:val="0"/>
        </w:rPr>
        <w:t xml:space="preserve">IP strategic roadmap</w:t>
      </w:r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ork Sans" w:cs="Work Sans" w:eastAsia="Work Sans" w:hAnsi="Work Sans"/>
          <w:sz w:val="22"/>
          <w:szCs w:val="22"/>
          <w:rtl w:val="0"/>
        </w:rPr>
        <w:t xml:space="preserve">Patentability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ork Sans" w:cs="Work Sans" w:eastAsia="Work Sans" w:hAnsi="Work Sans"/>
          <w:sz w:val="22"/>
          <w:szCs w:val="22"/>
          <w:rtl w:val="0"/>
        </w:rPr>
        <w:t xml:space="preserve">Freedom to Operate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Work Sans" w:cs="Work Sans" w:eastAsia="Work Sans" w:hAnsi="Work Sans"/>
          <w:sz w:val="22"/>
          <w:szCs w:val="22"/>
          <w:rtl w:val="0"/>
        </w:rPr>
        <w:t xml:space="preserve">International IP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Work Sans" w:cs="Work Sans" w:eastAsia="Work Sans" w:hAnsi="Work Sans"/>
          <w:color w:val="000000"/>
          <w:sz w:val="22"/>
          <w:szCs w:val="22"/>
          <w:rtl w:val="0"/>
        </w:rPr>
        <w:t xml:space="preserve"> Other IP strategic whenever justified (describe):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774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74"/>
        <w:tblGridChange w:id="0">
          <w:tblGrid>
            <w:gridCol w:w="77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Work Sans" w:cs="Work Sans" w:eastAsia="Work Sans" w:hAnsi="Work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Work Sans" w:cs="Work Sans" w:eastAsia="Work Sans" w:hAnsi="Work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Work Sans" w:cs="Work Sans" w:eastAsia="Work Sans" w:hAnsi="Work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Work Sans" w:cs="Work Sans" w:eastAsia="Work Sans" w:hAnsi="Work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Please provide us with a brief explanation about the following information: 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Work Sans" w:cs="Work Sans" w:eastAsia="Work Sans" w:hAnsi="Work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Work Sans" w:cs="Work Sans" w:eastAsia="Work Sans" w:hAnsi="Work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Strategic </w:t>
      </w:r>
      <w:r w:rsidDel="00000000" w:rsidR="00000000" w:rsidRPr="00000000">
        <w:rPr>
          <w:rFonts w:ascii="Work Sans" w:cs="Work Sans" w:eastAsia="Work Sans" w:hAnsi="Work Sans"/>
          <w:b w:val="1"/>
          <w:sz w:val="22"/>
          <w:szCs w:val="22"/>
          <w:rtl w:val="0"/>
        </w:rPr>
        <w:t xml:space="preserve">IP study</w:t>
      </w: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 required and the impact in the project: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Description of the </w:t>
      </w:r>
      <w:r w:rsidDel="00000000" w:rsidR="00000000" w:rsidRPr="00000000">
        <w:rPr>
          <w:rFonts w:ascii="Work Sans" w:cs="Work Sans" w:eastAsia="Work Sans" w:hAnsi="Work Sans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sset &amp; </w:t>
      </w:r>
      <w:r w:rsidDel="00000000" w:rsidR="00000000" w:rsidRPr="00000000">
        <w:rPr>
          <w:rFonts w:ascii="Work Sans" w:cs="Work Sans" w:eastAsia="Work Sans" w:hAnsi="Work Sans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nnovation: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Stage of the development of the asset: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Ownership of the asset(s):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sz w:val="22"/>
          <w:szCs w:val="22"/>
          <w:rtl w:val="0"/>
        </w:rPr>
        <w:t xml:space="preserve">Current IP strategy (if any):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0000"/>
          <w:sz w:val="22"/>
          <w:szCs w:val="22"/>
          <w:rtl w:val="0"/>
        </w:rPr>
        <w:t xml:space="preserve">Potential market and competitive advantages: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Work Sans" w:cs="Work Sans" w:eastAsia="Work Sans" w:hAnsi="Work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Work Sans" w:cs="Work Sans" w:eastAsia="Work Sans" w:hAnsi="Work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Courier New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-34924</wp:posOffset>
          </wp:positionH>
          <wp:positionV relativeFrom="paragraph">
            <wp:posOffset>-118744</wp:posOffset>
          </wp:positionV>
          <wp:extent cx="1581234" cy="222285"/>
          <wp:effectExtent b="0" l="0" r="0" t="0"/>
          <wp:wrapNone/>
          <wp:docPr id="103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234" cy="222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1814195</wp:posOffset>
          </wp:positionH>
          <wp:positionV relativeFrom="paragraph">
            <wp:posOffset>-128269</wp:posOffset>
          </wp:positionV>
          <wp:extent cx="1136701" cy="241614"/>
          <wp:effectExtent b="0" l="0" r="0" t="0"/>
          <wp:wrapNone/>
          <wp:docPr descr="http://identitatcorporativa.gencat.cat/web/.content/Documentacio/descarregues/dpt/COLOR/Recerca-i-Universitats/recerca_h3.jpg" id="1030" name="image2.jpg"/>
          <a:graphic>
            <a:graphicData uri="http://schemas.openxmlformats.org/drawingml/2006/picture">
              <pic:pic>
                <pic:nvPicPr>
                  <pic:cNvPr descr="http://identitatcorporativa.gencat.cat/web/.content/Documentacio/descarregues/dpt/COLOR/Recerca-i-Universitats/recerca_h3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6701" cy="2416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4127500</wp:posOffset>
          </wp:positionH>
          <wp:positionV relativeFrom="paragraph">
            <wp:posOffset>-135889</wp:posOffset>
          </wp:positionV>
          <wp:extent cx="1505069" cy="257226"/>
          <wp:effectExtent b="0" l="0" r="0" t="0"/>
          <wp:wrapNone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5069" cy="2572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3263900</wp:posOffset>
          </wp:positionH>
          <wp:positionV relativeFrom="paragraph">
            <wp:posOffset>-138429</wp:posOffset>
          </wp:positionV>
          <wp:extent cx="578388" cy="263174"/>
          <wp:effectExtent b="0" l="0" r="0" t="0"/>
          <wp:wrapNone/>
          <wp:docPr descr="El AGAUR resuelve positivamente 5 ayudas ARMIF para proyectos de la  Facultad | Blanquerna - Universitat Ramon Llull" id="1029" name="image4.gif"/>
          <a:graphic>
            <a:graphicData uri="http://schemas.openxmlformats.org/drawingml/2006/picture">
              <pic:pic>
                <pic:nvPicPr>
                  <pic:cNvPr descr="El AGAUR resuelve positivamente 5 ayudas ARMIF para proyectos de la  Facultad | Blanquerna - Universitat Ramon Llull" id="0" name="image4.gif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388" cy="2631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4736041</wp:posOffset>
          </wp:positionH>
          <wp:positionV relativeFrom="paragraph">
            <wp:posOffset>-203832</wp:posOffset>
          </wp:positionV>
          <wp:extent cx="1007745" cy="550545"/>
          <wp:effectExtent b="0" l="0" r="0" t="0"/>
          <wp:wrapSquare wrapText="bothSides" distB="0" distT="0" distL="114300" distR="114300"/>
          <wp:docPr descr="https://lh3.googleusercontent.com/GFrixDlSSnSRMf9KAkqpwyh9w3AMaZXuWXdCmU8Y9XcBDjJWsj8whuj0oAhyLpShduyiuCU5UhTRXQS9Irn98snUtjHksbi4lVkHV28VFmqL9j-96zjwO339Ne7qkhtW44wGaBY" id="1028" name="image5.jpg"/>
          <a:graphic>
            <a:graphicData uri="http://schemas.openxmlformats.org/drawingml/2006/picture">
              <pic:pic>
                <pic:nvPicPr>
                  <pic:cNvPr descr="https://lh3.googleusercontent.com/GFrixDlSSnSRMf9KAkqpwyh9w3AMaZXuWXdCmU8Y9XcBDjJWsj8whuj0oAhyLpShduyiuCU5UhTRXQS9Irn98snUtjHksbi4lVkHV28VFmqL9j-96zjwO339Ne7qkhtW44wGaBY"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7745" cy="550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5E3D"/>
  </w:style>
  <w:style w:type="paragraph" w:styleId="Ttol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ol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ol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ol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ol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ol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o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E55E3D"/>
    <w:pPr>
      <w:spacing w:after="100" w:afterAutospacing="1" w:before="100" w:beforeAutospacing="1"/>
    </w:pPr>
  </w:style>
  <w:style w:type="table" w:styleId="Taulaambquadrcula">
    <w:name w:val="Table Grid"/>
    <w:basedOn w:val="Taulanormal"/>
    <w:uiPriority w:val="39"/>
    <w:rsid w:val="006821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alera">
    <w:name w:val="header"/>
    <w:basedOn w:val="Normal"/>
    <w:link w:val="CapaleraCar"/>
    <w:uiPriority w:val="99"/>
    <w:unhideWhenUsed w:val="1"/>
    <w:rsid w:val="00682187"/>
    <w:pPr>
      <w:tabs>
        <w:tab w:val="center" w:pos="4252"/>
        <w:tab w:val="right" w:pos="8504"/>
      </w:tabs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682187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 w:val="1"/>
    <w:rsid w:val="00682187"/>
    <w:pPr>
      <w:tabs>
        <w:tab w:val="center" w:pos="4252"/>
        <w:tab w:val="right" w:pos="8504"/>
      </w:tabs>
    </w:pPr>
  </w:style>
  <w:style w:type="character" w:styleId="PeuCar" w:customStyle="1">
    <w:name w:val="Peu Car"/>
    <w:basedOn w:val="Tipusdelletraperdefectedelpargraf"/>
    <w:link w:val="Peu"/>
    <w:uiPriority w:val="99"/>
    <w:rsid w:val="00682187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tol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K+IpovTAWvl9Kc+/YeDNbHd2pQ==">AMUW2mXBH49tfsccKWwbkg46Dvp9seWGXfr6BcuyNF5PWKa5CVkCikKXl/psfw1iWZvz949G2rKWGp9cp970fWRsFrqrFndX7U1Om4tRTDKU9HzNrZD6MwE1upzf7G+1wpbK3ppC2PqQxjfT2Ufs+0hehIllbF/jniAemEiz9i4PcLmHBu0rgV9fqpMxb41RY1+MFKrGGfU5QiNEIfNDNJjEVQWFT7tP+slr8FksSZlGi90ZESf+Yod9nQqUs1wnpPBj8jHaBuX0Wv13vOlZ3jbQBlYJN2fXMfGJr2RBXmNjtLgjzccxd91s9b125b2/mQubhFFU0XcZgsk2SfL/iJnqGydEZBpj/xje9/rGQSfZuxZLeqPAq/ACtSYao7C6qhclSS1cDRd5uoVGkeXSayqV+vGUM1NTgqCbx/+WC6FNbEnOGm2khbzjoTPP4zgfZkEKhyQbLV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2021-07-06T06:33:00Z</dcterms:created>
  <dc:creator>Sergio Gonzalez</dc:creator>
</cp:coreProperties>
</file>